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6"/>
      </w:tblGrid>
      <w:tr w:rsidR="008955F3" w:rsidRPr="00024C5D" w:rsidTr="00DD572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5"/>
              <w:gridCol w:w="81"/>
            </w:tblGrid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8955F3" w:rsidRDefault="008955F3" w:rsidP="00DD5725">
                  <w:r w:rsidRPr="003E2F47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6965950" cy="3016250"/>
                        <wp:effectExtent l="0" t="0" r="6350" b="0"/>
                        <wp:docPr id="4" name="Picture 4" descr="X:\Rebecca\GTGI LOGO\GTGI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X:\Rebecca\GTGI LOGO\GTGI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5950" cy="301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4B63B3" w:rsidRDefault="004B63B3" w:rsidP="004B63B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Prep Instructions</w:t>
                  </w:r>
                </w:p>
                <w:p w:rsidR="004B63B3" w:rsidRDefault="004B63B3" w:rsidP="004B63B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Manometry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and pH Study</w:t>
                  </w:r>
                </w:p>
                <w:p w:rsidR="004B63B3" w:rsidRDefault="004B63B3" w:rsidP="004B63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have n</w:t>
                  </w:r>
                  <w:r w:rsidRPr="001C4366">
                    <w:rPr>
                      <w:sz w:val="24"/>
                      <w:szCs w:val="24"/>
                    </w:rPr>
                    <w:t>othing to eat, drink or smoke after midnight before the test.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C4366">
                    <w:rPr>
                      <w:sz w:val="24"/>
                      <w:szCs w:val="24"/>
                    </w:rPr>
                    <w:t>Please refrain from taking the following medications for the specified amount of time prior to testing, unless otherwise specified by your Physician: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  <w:p w:rsidR="004B63B3" w:rsidRDefault="004B63B3" w:rsidP="004B63B3">
                  <w:pPr>
                    <w:rPr>
                      <w:sz w:val="24"/>
                      <w:szCs w:val="24"/>
                    </w:rPr>
                  </w:pPr>
                  <w:r w:rsidRPr="001C4366">
                    <w:rPr>
                      <w:b/>
                      <w:sz w:val="24"/>
                      <w:szCs w:val="24"/>
                      <w:u w:val="single"/>
                    </w:rPr>
                    <w:t>DO NOT</w:t>
                  </w:r>
                  <w:r>
                    <w:rPr>
                      <w:sz w:val="24"/>
                      <w:szCs w:val="24"/>
                    </w:rPr>
                    <w:t xml:space="preserve"> take for 7 days prior to testing.                                                               </w:t>
                  </w:r>
                  <w:r w:rsidRPr="001C436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1C4366">
                    <w:rPr>
                      <w:sz w:val="24"/>
                      <w:szCs w:val="24"/>
                    </w:rPr>
                    <w:t>Protonix</w:t>
                  </w:r>
                  <w:proofErr w:type="spellEnd"/>
                  <w:r w:rsidRPr="001C4366">
                    <w:rPr>
                      <w:sz w:val="24"/>
                      <w:szCs w:val="24"/>
                    </w:rPr>
                    <w:t xml:space="preserve">, pantoprazole, Prilosec, omeprazole, Nexium, esomeprazole, </w:t>
                  </w:r>
                  <w:proofErr w:type="spellStart"/>
                  <w:r w:rsidRPr="001C4366">
                    <w:rPr>
                      <w:sz w:val="24"/>
                      <w:szCs w:val="24"/>
                    </w:rPr>
                    <w:t>Prevacid</w:t>
                  </w:r>
                  <w:proofErr w:type="spellEnd"/>
                  <w:r w:rsidRPr="001C4366">
                    <w:rPr>
                      <w:sz w:val="24"/>
                      <w:szCs w:val="24"/>
                    </w:rPr>
                    <w:t xml:space="preserve">, lansoprazole, </w:t>
                  </w:r>
                  <w:proofErr w:type="spellStart"/>
                  <w:r w:rsidRPr="001C4366">
                    <w:rPr>
                      <w:sz w:val="24"/>
                      <w:szCs w:val="24"/>
                    </w:rPr>
                    <w:t>Aciphex</w:t>
                  </w:r>
                  <w:proofErr w:type="spellEnd"/>
                  <w:r w:rsidRPr="001C436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4366">
                    <w:rPr>
                      <w:sz w:val="24"/>
                      <w:szCs w:val="24"/>
                    </w:rPr>
                    <w:t>rabeprazole</w:t>
                  </w:r>
                  <w:proofErr w:type="spellEnd"/>
                  <w:r w:rsidRPr="001C436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4366">
                    <w:rPr>
                      <w:sz w:val="24"/>
                      <w:szCs w:val="24"/>
                    </w:rPr>
                    <w:t>Zegerid</w:t>
                  </w:r>
                  <w:proofErr w:type="spellEnd"/>
                  <w:r w:rsidRPr="001C436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4366">
                    <w:rPr>
                      <w:sz w:val="24"/>
                      <w:szCs w:val="24"/>
                    </w:rPr>
                    <w:t>Dexilant</w:t>
                  </w:r>
                  <w:proofErr w:type="spellEnd"/>
                  <w:r w:rsidRPr="001C436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4B63B3" w:rsidRDefault="004B63B3" w:rsidP="004B63B3">
                  <w:pPr>
                    <w:rPr>
                      <w:sz w:val="24"/>
                      <w:szCs w:val="24"/>
                    </w:rPr>
                  </w:pPr>
                  <w:r w:rsidRPr="001C4366">
                    <w:rPr>
                      <w:b/>
                      <w:sz w:val="24"/>
                      <w:szCs w:val="24"/>
                      <w:u w:val="single"/>
                    </w:rPr>
                    <w:t>DO NOT</w:t>
                  </w:r>
                  <w:r>
                    <w:rPr>
                      <w:sz w:val="24"/>
                      <w:szCs w:val="24"/>
                    </w:rPr>
                    <w:t xml:space="preserve"> take for 3 days prior to testing (</w:t>
                  </w:r>
                  <w:r w:rsidRPr="001C4366">
                    <w:rPr>
                      <w:sz w:val="24"/>
                      <w:szCs w:val="24"/>
                    </w:rPr>
                    <w:t>if you are scheduled for a pH test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1C436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4B63B3" w:rsidRDefault="004B63B3" w:rsidP="004B63B3">
                  <w:pPr>
                    <w:rPr>
                      <w:sz w:val="24"/>
                      <w:szCs w:val="24"/>
                    </w:rPr>
                  </w:pPr>
                  <w:r w:rsidRPr="001C4366">
                    <w:rPr>
                      <w:sz w:val="24"/>
                      <w:szCs w:val="24"/>
                    </w:rPr>
                    <w:t>Carafate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sucralfate</w:t>
                  </w:r>
                  <w:proofErr w:type="spellEnd"/>
                  <w:r>
                    <w:rPr>
                      <w:sz w:val="24"/>
                      <w:szCs w:val="24"/>
                    </w:rPr>
                    <w:t>, Zantac</w:t>
                  </w:r>
                  <w:r w:rsidRPr="001C4366">
                    <w:rPr>
                      <w:sz w:val="24"/>
                      <w:szCs w:val="24"/>
                    </w:rPr>
                    <w:t>, Tagamet, cimetidine, Pepcid, famotidin</w:t>
                  </w:r>
                  <w:r>
                    <w:rPr>
                      <w:sz w:val="24"/>
                      <w:szCs w:val="24"/>
                    </w:rPr>
                    <w:t xml:space="preserve">e, Reglan, metoclopramide. </w:t>
                  </w:r>
                </w:p>
                <w:p w:rsidR="004B63B3" w:rsidRDefault="004B63B3" w:rsidP="004B63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C4366">
                    <w:rPr>
                      <w:sz w:val="24"/>
                      <w:szCs w:val="24"/>
                    </w:rPr>
                    <w:t>You may take liquid Maalox, or Mylanta up to the day before the test. Please do no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Pr="001C4366">
                    <w:rPr>
                      <w:sz w:val="24"/>
                      <w:szCs w:val="24"/>
                    </w:rPr>
                    <w:t xml:space="preserve"> take any oral medications the morning of the test, unless you are instructed otherwise. You may bring the medications with you to take after the testing is complete.</w:t>
                  </w:r>
                </w:p>
                <w:p w:rsidR="008955F3" w:rsidRPr="004B63B3" w:rsidRDefault="004B63B3" w:rsidP="00DD5725">
                  <w:pPr>
                    <w:rPr>
                      <w:sz w:val="24"/>
                      <w:szCs w:val="24"/>
                    </w:rPr>
                  </w:pPr>
                  <w:r w:rsidRPr="001C4366">
                    <w:rPr>
                      <w:sz w:val="24"/>
                      <w:szCs w:val="24"/>
                    </w:rPr>
                    <w:t xml:space="preserve"> You will</w:t>
                  </w:r>
                  <w:r>
                    <w:rPr>
                      <w:sz w:val="24"/>
                      <w:szCs w:val="24"/>
                    </w:rPr>
                    <w:t xml:space="preserve"> need to come back 24 hours after the prob</w:t>
                  </w:r>
                  <w:r>
                    <w:rPr>
                      <w:sz w:val="24"/>
                      <w:szCs w:val="24"/>
                    </w:rPr>
                    <w:t>e is placed to have it removed.</w:t>
                  </w:r>
                  <w:bookmarkStart w:id="0" w:name="_GoBack"/>
                  <w:bookmarkEnd w:id="0"/>
                </w:p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8955F3" w:rsidRDefault="008955F3" w:rsidP="00DD5725"/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ind w:left="1515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8955F3" w:rsidRPr="00024C5D" w:rsidRDefault="008955F3" w:rsidP="00DD5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24C5D" w:rsidRPr="00024C5D" w:rsidRDefault="00024C5D" w:rsidP="004B6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C5D" w:rsidRPr="00D45458" w:rsidRDefault="00024C5D" w:rsidP="00024C5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tbl>
      <w:tblPr>
        <w:tblW w:w="20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  <w:gridCol w:w="10230"/>
      </w:tblGrid>
      <w:tr w:rsidR="004B63B3" w:rsidRPr="00D45458" w:rsidTr="004B63B3">
        <w:trPr>
          <w:tblCellSpacing w:w="0" w:type="dxa"/>
        </w:trPr>
        <w:tc>
          <w:tcPr>
            <w:tcW w:w="2500" w:type="pct"/>
            <w:hideMark/>
          </w:tcPr>
          <w:p w:rsidR="004B63B3" w:rsidRPr="00D45458" w:rsidRDefault="004B63B3" w:rsidP="00D4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00" w:type="pct"/>
          </w:tcPr>
          <w:p w:rsidR="004B63B3" w:rsidRPr="00D45458" w:rsidRDefault="004B63B3" w:rsidP="00D4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BD33B8" w:rsidRDefault="00BD33B8"/>
    <w:sectPr w:rsidR="00BD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5D"/>
    <w:rsid w:val="00024C5D"/>
    <w:rsid w:val="000717B8"/>
    <w:rsid w:val="00270A8F"/>
    <w:rsid w:val="00401780"/>
    <w:rsid w:val="004B63B3"/>
    <w:rsid w:val="0058312D"/>
    <w:rsid w:val="005A4513"/>
    <w:rsid w:val="006E29D4"/>
    <w:rsid w:val="008955F3"/>
    <w:rsid w:val="00A771D4"/>
    <w:rsid w:val="00B63CB6"/>
    <w:rsid w:val="00BD33B8"/>
    <w:rsid w:val="00D45458"/>
    <w:rsid w:val="00E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801E"/>
  <w15:docId w15:val="{C00954AC-D9C9-48C1-AAB2-AE669A9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29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176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6EB4-3849-4687-A7EA-879A3405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Barnett</dc:creator>
  <cp:lastModifiedBy>Jill Birkinbine</cp:lastModifiedBy>
  <cp:revision>2</cp:revision>
  <dcterms:created xsi:type="dcterms:W3CDTF">2022-12-15T19:01:00Z</dcterms:created>
  <dcterms:modified xsi:type="dcterms:W3CDTF">2022-12-15T19:01:00Z</dcterms:modified>
</cp:coreProperties>
</file>